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B3AE" w14:textId="77777777" w:rsidR="00F23A49" w:rsidRDefault="00F23A49" w:rsidP="00F23A49">
      <w:pPr>
        <w:spacing w:after="0" w:line="360" w:lineRule="atLeast"/>
        <w:jc w:val="right"/>
        <w:rPr>
          <w:rFonts w:ascii="Bahnschrift Light SemiCondensed" w:eastAsia="Calibri" w:hAnsi="Bahnschrift Light SemiCondensed" w:cs="Calibri"/>
          <w:sz w:val="28"/>
          <w:szCs w:val="24"/>
        </w:rPr>
      </w:pPr>
      <w:r>
        <w:rPr>
          <w:rFonts w:ascii="Bahnschrift Light SemiCondensed" w:eastAsia="Calibri" w:hAnsi="Bahnschrift Light SemiCondensed" w:cs="Calibri"/>
          <w:sz w:val="28"/>
          <w:szCs w:val="24"/>
        </w:rPr>
        <w:t>Mensaje</w:t>
      </w:r>
      <w:r>
        <w:rPr>
          <w:rFonts w:ascii="Bahnschrift Light SemiCondensed" w:eastAsia="Calibri" w:hAnsi="Bahnschrift Light SemiCondensed" w:cs="Calibri"/>
          <w:sz w:val="28"/>
          <w:szCs w:val="24"/>
        </w:rPr>
        <w:br/>
        <w:t>Director</w:t>
      </w:r>
    </w:p>
    <w:p w14:paraId="1BCCE6CA" w14:textId="30C28AD5" w:rsidR="00F23A49" w:rsidRDefault="00A37669" w:rsidP="00F23A49">
      <w:pPr>
        <w:spacing w:after="0" w:line="360" w:lineRule="atLeast"/>
        <w:jc w:val="right"/>
        <w:rPr>
          <w:rFonts w:ascii="Bahnschrift Light SemiCondensed" w:eastAsia="Calibri" w:hAnsi="Bahnschrift Light SemiCondensed" w:cs="Calibri"/>
          <w:sz w:val="28"/>
          <w:szCs w:val="24"/>
        </w:rPr>
      </w:pPr>
      <w:r w:rsidRPr="00F23A49">
        <w:rPr>
          <w:rFonts w:ascii="Bahnschrift Light SemiCondensed" w:eastAsia="Calibri" w:hAnsi="Bahnschrift Light SemiCondensed" w:cs="Calibri"/>
          <w:sz w:val="28"/>
          <w:szCs w:val="24"/>
        </w:rPr>
        <w:t>Corporación A</w:t>
      </w:r>
      <w:r w:rsidR="00F23A49">
        <w:rPr>
          <w:rFonts w:ascii="Bahnschrift Light SemiCondensed" w:eastAsia="Calibri" w:hAnsi="Bahnschrift Light SemiCondensed" w:cs="Calibri"/>
          <w:sz w:val="28"/>
          <w:szCs w:val="24"/>
        </w:rPr>
        <w:t>dministrativa del Poder Judicial</w:t>
      </w:r>
    </w:p>
    <w:p w14:paraId="3254E14D" w14:textId="7D540B3B" w:rsidR="003760E7" w:rsidRDefault="003760E7" w:rsidP="00F23A49">
      <w:pPr>
        <w:spacing w:after="0" w:line="360" w:lineRule="atLeast"/>
        <w:jc w:val="right"/>
        <w:rPr>
          <w:rFonts w:ascii="Bahnschrift Light SemiCondensed" w:eastAsia="Calibri" w:hAnsi="Bahnschrift Light SemiCondensed" w:cs="Calibri"/>
          <w:sz w:val="28"/>
          <w:szCs w:val="24"/>
        </w:rPr>
      </w:pPr>
    </w:p>
    <w:p w14:paraId="1C3FC27C" w14:textId="77777777" w:rsidR="003760E7" w:rsidRDefault="003760E7" w:rsidP="00F23A49">
      <w:pPr>
        <w:spacing w:after="0" w:line="360" w:lineRule="atLeast"/>
        <w:jc w:val="right"/>
        <w:rPr>
          <w:rFonts w:ascii="Bahnschrift Light SemiCondensed" w:eastAsia="Calibri" w:hAnsi="Bahnschrift Light SemiCondensed" w:cs="Calibri"/>
          <w:sz w:val="28"/>
          <w:szCs w:val="24"/>
        </w:rPr>
      </w:pPr>
    </w:p>
    <w:p w14:paraId="1EBE9F4A" w14:textId="605D927D" w:rsidR="00F23A49" w:rsidRPr="003760E7" w:rsidRDefault="003760E7" w:rsidP="00F23A49">
      <w:pPr>
        <w:spacing w:after="0" w:line="360" w:lineRule="atLeast"/>
        <w:jc w:val="both"/>
        <w:rPr>
          <w:rFonts w:ascii="Bahnschrift Light SemiCondensed" w:eastAsia="Calibri" w:hAnsi="Bahnschrift Light SemiCondensed" w:cs="Calibri"/>
          <w:b/>
          <w:bCs/>
          <w:sz w:val="28"/>
          <w:szCs w:val="24"/>
        </w:rPr>
      </w:pPr>
      <w:r w:rsidRPr="003760E7">
        <w:rPr>
          <w:rFonts w:ascii="Bahnschrift Light SemiCondensed" w:eastAsia="Calibri" w:hAnsi="Bahnschrift Light SemiCondensed" w:cs="Calibri"/>
          <w:b/>
          <w:bCs/>
          <w:sz w:val="28"/>
          <w:szCs w:val="24"/>
        </w:rPr>
        <w:t>UN MEJOR SERVICIO PARA LOS TRIBUNALES DE CHILE</w:t>
      </w:r>
    </w:p>
    <w:p w14:paraId="00C9A925" w14:textId="77777777" w:rsidR="003760E7" w:rsidRPr="00F23A49" w:rsidRDefault="003760E7" w:rsidP="00F23A49">
      <w:pPr>
        <w:spacing w:after="0" w:line="360" w:lineRule="atLeast"/>
        <w:jc w:val="both"/>
        <w:rPr>
          <w:rFonts w:ascii="Bahnschrift Light SemiCondensed" w:eastAsia="Calibri" w:hAnsi="Bahnschrift Light SemiCondensed" w:cs="Calibri"/>
          <w:sz w:val="28"/>
          <w:szCs w:val="24"/>
        </w:rPr>
      </w:pPr>
    </w:p>
    <w:p w14:paraId="555C6845" w14:textId="77777777" w:rsidR="003760E7" w:rsidRDefault="00A37669" w:rsidP="003760E7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1D498E">
        <w:rPr>
          <w:rFonts w:ascii="Bahnschrift Light SemiCondensed" w:hAnsi="Bahnschrift Light SemiCondensed" w:cs="Calibri"/>
          <w:sz w:val="28"/>
          <w:szCs w:val="24"/>
        </w:rPr>
        <w:tab/>
      </w:r>
      <w:r w:rsidR="003760E7" w:rsidRPr="001D498E">
        <w:rPr>
          <w:rFonts w:ascii="Bahnschrift Light SemiCondensed" w:hAnsi="Bahnschrift Light SemiCondensed" w:cs="Calibri"/>
          <w:sz w:val="28"/>
          <w:szCs w:val="24"/>
        </w:rPr>
        <w:t>En períodos complejos donde la necesidad de una justicia más moderna, eficiente y oportuna</w:t>
      </w:r>
      <w:r w:rsidR="003760E7">
        <w:rPr>
          <w:rFonts w:ascii="Bahnschrift Light SemiCondensed" w:hAnsi="Bahnschrift Light SemiCondensed" w:cs="Calibri"/>
          <w:sz w:val="28"/>
          <w:szCs w:val="24"/>
        </w:rPr>
        <w:t xml:space="preserve"> se ha vuelto una tarea fundamental para Chile, el trabajo </w:t>
      </w:r>
      <w:proofErr w:type="gramStart"/>
      <w:r w:rsidR="003760E7">
        <w:rPr>
          <w:rFonts w:ascii="Bahnschrift Light SemiCondensed" w:hAnsi="Bahnschrift Light SemiCondensed" w:cs="Calibri"/>
          <w:sz w:val="28"/>
          <w:szCs w:val="24"/>
        </w:rPr>
        <w:t>dela</w:t>
      </w:r>
      <w:proofErr w:type="gramEnd"/>
      <w:r w:rsidR="003760E7">
        <w:rPr>
          <w:rFonts w:ascii="Bahnschrift Light SemiCondensed" w:hAnsi="Bahnschrift Light SemiCondensed" w:cs="Calibri"/>
          <w:sz w:val="28"/>
          <w:szCs w:val="24"/>
        </w:rPr>
        <w:t xml:space="preserve"> Corporación Administrativa del </w:t>
      </w:r>
      <w:r w:rsidR="003760E7" w:rsidRPr="00F23A49">
        <w:rPr>
          <w:rFonts w:ascii="Bahnschrift Light SemiCondensed" w:hAnsi="Bahnschrift Light SemiCondensed" w:cs="Calibri"/>
          <w:sz w:val="28"/>
          <w:szCs w:val="24"/>
        </w:rPr>
        <w:t xml:space="preserve">Poder Judicial (CAPJ) </w:t>
      </w:r>
      <w:r w:rsidR="003760E7">
        <w:rPr>
          <w:rFonts w:ascii="Bahnschrift Light SemiCondensed" w:hAnsi="Bahnschrift Light SemiCondensed" w:cs="Calibri"/>
          <w:sz w:val="28"/>
          <w:szCs w:val="24"/>
        </w:rPr>
        <w:t>ha asumido un rol preponderante en contribuir a su desarrollo y modernización.</w:t>
      </w:r>
    </w:p>
    <w:p w14:paraId="5519021F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Este período estuvo marcado por un intenso trabajo del Poder Judicial y de los distintos departamentos y administraciones zonales de la Corporación Administrativa y que se detallarán a continuación, pero también por el estallido social de octubre de 2019 y los primeros indicios de la</w:t>
      </w:r>
      <w:r w:rsidRPr="00182AA8">
        <w:rPr>
          <w:rFonts w:ascii="Bahnschrift Light SemiCondensed" w:hAnsi="Bahnschrift Light SemiCondensed" w:cs="Calibri"/>
          <w:sz w:val="28"/>
          <w:szCs w:val="24"/>
        </w:rPr>
        <w:t xml:space="preserve"> crisis sanitaria, ocasionada por el contagio masivo de coronavirus</w:t>
      </w:r>
      <w:r>
        <w:rPr>
          <w:rFonts w:ascii="Bahnschrift Light SemiCondensed" w:hAnsi="Bahnschrift Light SemiCondensed" w:cs="Calibri"/>
          <w:sz w:val="28"/>
          <w:szCs w:val="24"/>
        </w:rPr>
        <w:t>, que marcará para siempre el año 2020.</w:t>
      </w:r>
    </w:p>
    <w:p w14:paraId="3B733E0C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 xml:space="preserve">Esta coyuntura nos ha enfrentado al desafío de mejorar nuestra gestión y nuestros procesos, haciéndola una institución cada vez más eficiente, moderna y al servicio de los tribunales de Arica a Puerto Williams, obligándonos </w:t>
      </w:r>
      <w:proofErr w:type="gramStart"/>
      <w:r>
        <w:rPr>
          <w:rFonts w:ascii="Bahnschrift Light SemiCondensed" w:hAnsi="Bahnschrift Light SemiCondensed" w:cs="Calibri"/>
          <w:sz w:val="28"/>
          <w:szCs w:val="24"/>
        </w:rPr>
        <w:t>a  incorporar</w:t>
      </w:r>
      <w:proofErr w:type="gramEnd"/>
      <w:r>
        <w:rPr>
          <w:rFonts w:ascii="Bahnschrift Light SemiCondensed" w:hAnsi="Bahnschrift Light SemiCondensed" w:cs="Calibri"/>
          <w:sz w:val="28"/>
          <w:szCs w:val="24"/>
        </w:rPr>
        <w:t xml:space="preserve"> tecnología, mejorar nuestros servicios y cercarnos a la comunidad. </w:t>
      </w:r>
    </w:p>
    <w:p w14:paraId="4F202395" w14:textId="77777777" w:rsidR="003760E7" w:rsidRDefault="003760E7" w:rsidP="003760E7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>Este año, la Corporación Administrativa cumplió 30 años de historia, un período donde hemos visto el devenir del país. No somos la misma institución que éramos tres décadas atrás y Chile no es el mismo.</w:t>
      </w:r>
    </w:p>
    <w:p w14:paraId="1F01E113" w14:textId="77777777" w:rsidR="003760E7" w:rsidRDefault="003760E7" w:rsidP="003760E7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 xml:space="preserve">Creada en 1990, </w:t>
      </w:r>
      <w:r w:rsidRPr="00097D4A">
        <w:rPr>
          <w:rFonts w:ascii="Bahnschrift Light SemiCondensed" w:hAnsi="Bahnschrift Light SemiCondensed" w:cs="Calibri"/>
          <w:sz w:val="28"/>
          <w:szCs w:val="24"/>
        </w:rPr>
        <w:t>como sucesor de la Junta de Servicios Judiciales y de la Oficina de Pres</w:t>
      </w:r>
      <w:r>
        <w:rPr>
          <w:rFonts w:ascii="Bahnschrift Light SemiCondensed" w:hAnsi="Bahnschrift Light SemiCondensed" w:cs="Calibri"/>
          <w:sz w:val="28"/>
          <w:szCs w:val="24"/>
        </w:rPr>
        <w:t>upuestos para el Poder Judicial</w:t>
      </w:r>
      <w:r w:rsidRPr="00097D4A">
        <w:rPr>
          <w:rFonts w:ascii="Bahnschrift Light SemiCondensed" w:hAnsi="Bahnschrift Light SemiCondensed" w:cs="Calibri"/>
          <w:sz w:val="28"/>
          <w:szCs w:val="24"/>
        </w:rPr>
        <w:t>,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nuestra institución extiende sus servicios en todo el país, a través de una oficina central y 17 administraciones zonales repartidas en las diferentes jurisdicciones.</w:t>
      </w:r>
    </w:p>
    <w:p w14:paraId="2624567E" w14:textId="77777777" w:rsidR="003760E7" w:rsidRPr="00F23A49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En la actualidad</w:t>
      </w:r>
      <w:r w:rsidRPr="00F23A49">
        <w:rPr>
          <w:rFonts w:ascii="Bahnschrift Light SemiCondensed" w:hAnsi="Bahnschrift Light SemiCondensed" w:cs="Calibri"/>
          <w:sz w:val="28"/>
          <w:szCs w:val="24"/>
        </w:rPr>
        <w:t xml:space="preserve">,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somos cerca de 1.050 personas distribuidas en todo Chile, quienes atienden las necesidades de la Corte Suprema, las 17 Cortes de Apelaciones y los </w:t>
      </w:r>
      <w:r w:rsidRPr="00E07E1B">
        <w:rPr>
          <w:rFonts w:ascii="Bahnschrift Light SemiCondensed" w:hAnsi="Bahnschrift Light SemiCondensed" w:cs="Calibri"/>
          <w:sz w:val="28"/>
          <w:szCs w:val="24"/>
        </w:rPr>
        <w:t>4</w:t>
      </w:r>
      <w:r>
        <w:rPr>
          <w:rFonts w:ascii="Bahnschrift Light SemiCondensed" w:hAnsi="Bahnschrift Light SemiCondensed" w:cs="Calibri"/>
          <w:sz w:val="28"/>
          <w:szCs w:val="24"/>
        </w:rPr>
        <w:t>48</w:t>
      </w:r>
      <w:r w:rsidRPr="00E07E1B">
        <w:rPr>
          <w:rFonts w:ascii="Bahnschrift Light SemiCondensed" w:hAnsi="Bahnschrift Light SemiCondensed" w:cs="Calibri"/>
          <w:sz w:val="28"/>
          <w:szCs w:val="24"/>
        </w:rPr>
        <w:t xml:space="preserve"> tribunales de primera instancia.</w:t>
      </w:r>
      <w:r w:rsidRPr="00F23A49">
        <w:rPr>
          <w:rFonts w:ascii="Bahnschrift Light SemiCondensed" w:hAnsi="Bahnschrift Light SemiCondensed" w:cs="Calibri"/>
          <w:sz w:val="28"/>
          <w:szCs w:val="24"/>
        </w:rPr>
        <w:t xml:space="preserve"> </w:t>
      </w:r>
    </w:p>
    <w:p w14:paraId="5B16E947" w14:textId="77777777" w:rsidR="003760E7" w:rsidRDefault="003760E7" w:rsidP="003760E7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>Hemos incrementado durante los últimos 10 años el presupuesto del Poder Judicial, que alcanzó los M$578.452.075 en 2019, con un aumento de 2,5% respecto de 2018.</w:t>
      </w:r>
    </w:p>
    <w:p w14:paraId="190029E7" w14:textId="77777777" w:rsidR="003760E7" w:rsidRPr="00493663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lastRenderedPageBreak/>
        <w:t xml:space="preserve">La ejecución presupuestaria alcanzó el 99,1%, lo que instala a la </w:t>
      </w:r>
      <w:r w:rsidRPr="00493663">
        <w:rPr>
          <w:rFonts w:ascii="Bahnschrift Light SemiCondensed" w:hAnsi="Bahnschrift Light SemiCondensed" w:cs="Calibri"/>
          <w:sz w:val="28"/>
          <w:szCs w:val="24"/>
        </w:rPr>
        <w:t>CAPJ como una de las instituciones públicas más eficientes en la administración de los recursos del país.</w:t>
      </w:r>
    </w:p>
    <w:p w14:paraId="365445FB" w14:textId="77777777" w:rsidR="003760E7" w:rsidRPr="00493663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493663">
        <w:rPr>
          <w:rFonts w:ascii="Bahnschrift Light SemiCondensed" w:hAnsi="Bahnschrift Light SemiCondensed" w:cs="Calibri"/>
          <w:sz w:val="28"/>
          <w:szCs w:val="24"/>
        </w:rPr>
        <w:t>En el área de infraestructura, me permito destacar los avances realizados en el plan quinquenal de inversiones del Poder Judicial con miras al 2025, que involucra el diseño, construcción y operación de nuevos y modernos centros de justicia y tribunales en diferentes zonas del país.</w:t>
      </w:r>
    </w:p>
    <w:p w14:paraId="5A0D7776" w14:textId="77777777" w:rsidR="003760E7" w:rsidRPr="00493663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493663">
        <w:rPr>
          <w:rFonts w:ascii="Bahnschrift Light SemiCondensed" w:hAnsi="Bahnschrift Light SemiCondensed" w:cs="Calibri"/>
          <w:sz w:val="28"/>
          <w:szCs w:val="24"/>
        </w:rPr>
        <w:t xml:space="preserve">En noviembre de 2019 se inauguró el nuevo centro de justicia de Puente Alto, un moderno y sustentable edificio que agrupa los juzgados de Familia, Civiles y Letras de dicha comuna, ubicado en el epicentro del municipio con mayor población del país. </w:t>
      </w:r>
    </w:p>
    <w:p w14:paraId="51ACDC6F" w14:textId="77777777" w:rsidR="003760E7" w:rsidRPr="00493663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493663">
        <w:rPr>
          <w:rFonts w:ascii="Bahnschrift Light SemiCondensed" w:hAnsi="Bahnschrift Light SemiCondensed" w:cs="Calibri"/>
          <w:sz w:val="28"/>
          <w:szCs w:val="24"/>
        </w:rPr>
        <w:t>Asimismo, en junio se inauguraron los nuevos inmuebles de los Juzgados de Familia de Talagante y en septiembre, los Tribunales definitivos de Letras, Garantía, Laboral y Familia de Alto Hospicio en el norte del país.</w:t>
      </w:r>
    </w:p>
    <w:p w14:paraId="6F915DBF" w14:textId="77777777" w:rsidR="003760E7" w:rsidRPr="00493663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493663">
        <w:rPr>
          <w:rFonts w:ascii="Bahnschrift Light SemiCondensed" w:hAnsi="Bahnschrift Light SemiCondensed" w:cs="Calibri"/>
          <w:sz w:val="28"/>
          <w:szCs w:val="24"/>
        </w:rPr>
        <w:t>Destaco también los avances constructivos de la Corte de Apelaciones de San Miguel y los nuevos Juzgados de Familia de dicha comuna; el Juzgado de Letras con Competencia Común de Cabo de Hornos, y sus viviendas judiciales y el centro de justicia de Rancagua.</w:t>
      </w:r>
    </w:p>
    <w:p w14:paraId="36C656E8" w14:textId="77777777" w:rsidR="003760E7" w:rsidRPr="00493663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493663">
        <w:rPr>
          <w:rFonts w:ascii="Bahnschrift Light SemiCondensed" w:hAnsi="Bahnschrift Light SemiCondensed" w:cs="Calibri"/>
          <w:sz w:val="28"/>
          <w:szCs w:val="24"/>
        </w:rPr>
        <w:t>Además, del centro de justicia de Tomé (Letras y Familia), La Serena (Letras, Letras del Trabajo y Familia), Temuco (Letras, Letras del Trabajo y Familia) y Chillán (Corte de Apelaciones, Familia y Civil). Además, de los nuevos proyectos que se construyen en las ciudades de Ancud y Los Ángeles</w:t>
      </w:r>
    </w:p>
    <w:p w14:paraId="7200D91F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493663">
        <w:rPr>
          <w:rFonts w:ascii="Bahnschrift Light SemiCondensed" w:hAnsi="Bahnschrift Light SemiCondensed" w:cs="Calibri"/>
          <w:sz w:val="28"/>
          <w:szCs w:val="24"/>
        </w:rPr>
        <w:t>En tecnología, quie</w:t>
      </w:r>
      <w:r>
        <w:rPr>
          <w:rFonts w:ascii="Bahnschrift Light SemiCondensed" w:hAnsi="Bahnschrift Light SemiCondensed" w:cs="Calibri"/>
          <w:sz w:val="28"/>
          <w:szCs w:val="24"/>
        </w:rPr>
        <w:t>ro destacar el fortalecimiento del uso de la Tramitación Electrónica y los cambios y mejoras implementadas en la Oficina Judicial Virtual.</w:t>
      </w:r>
      <w:r w:rsidRPr="00CC18A2">
        <w:t xml:space="preserve"> </w:t>
      </w:r>
      <w:r w:rsidRPr="00CC18A2">
        <w:rPr>
          <w:rFonts w:ascii="Bahnschrift Light SemiCondensed" w:hAnsi="Bahnschrift Light SemiCondensed" w:cs="Calibri"/>
          <w:sz w:val="28"/>
          <w:szCs w:val="24"/>
        </w:rPr>
        <w:t>Se implementó el uso gradual de la firma digital avanzada para la tramitación de resoluciones de nombramientos y/o contratos, a nivel nacional</w:t>
      </w:r>
    </w:p>
    <w:p w14:paraId="2596681C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AB2CA2">
        <w:rPr>
          <w:rFonts w:ascii="Bahnschrift Light SemiCondensed" w:hAnsi="Bahnschrift Light SemiCondensed" w:cs="Calibri"/>
          <w:sz w:val="28"/>
          <w:szCs w:val="24"/>
        </w:rPr>
        <w:t>En materia de Recursos Humanos, se amplió la plataforma de estudios virtuales con un total de 77 cursos en dicha modalidad disponibles a todas las personas del Poder Judicial y la CAPJ y se otorgaron 140 becas de perfeccionamiento por un monto de $231 millones, beneficiando con postgrados a 86 funcionarios por un monto cercano a los $146 millones y con diplomados a 54 funcionarios por un monto que bordeó los $85 millones.</w:t>
      </w:r>
    </w:p>
    <w:p w14:paraId="1624B8BD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El Comité Nacional de Riesgos Psicosociales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de la Corte Suprema 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elaboró una propuesta para la tercera versión de la Política de Clima Laboral, </w:t>
      </w:r>
      <w:r>
        <w:rPr>
          <w:rFonts w:ascii="Bahnschrift Light SemiCondensed" w:hAnsi="Bahnschrift Light SemiCondensed" w:cs="Calibri"/>
          <w:sz w:val="28"/>
          <w:szCs w:val="24"/>
        </w:rPr>
        <w:t>que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 </w:t>
      </w:r>
      <w:r w:rsidRPr="00F253AC">
        <w:rPr>
          <w:rFonts w:ascii="Bahnschrift Light SemiCondensed" w:hAnsi="Bahnschrift Light SemiCondensed" w:cs="Calibri"/>
          <w:sz w:val="28"/>
          <w:szCs w:val="24"/>
        </w:rPr>
        <w:lastRenderedPageBreak/>
        <w:t>incorpora el concepto de maltrato laboral además del de acoso laboral y comprende un protocolo de denuncia de este tipo de situaciones.</w:t>
      </w:r>
    </w:p>
    <w:p w14:paraId="19CFF7D7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F253AC">
        <w:rPr>
          <w:rFonts w:ascii="Bahnschrift Light SemiCondensed" w:hAnsi="Bahnschrift Light SemiCondensed" w:cs="Calibri"/>
          <w:sz w:val="28"/>
          <w:szCs w:val="24"/>
        </w:rPr>
        <w:t>Se trabajó en el programa de mejora de acceso a la justicia para personas con discapacidad y accesibilidad universal, a través de capacitac</w:t>
      </w:r>
      <w:r>
        <w:rPr>
          <w:rFonts w:ascii="Bahnschrift Light SemiCondensed" w:hAnsi="Bahnschrift Light SemiCondensed" w:cs="Calibri"/>
          <w:sz w:val="28"/>
          <w:szCs w:val="24"/>
        </w:rPr>
        <w:t>iones internas sobre la Ley de Inclusión L</w:t>
      </w:r>
      <w:r w:rsidRPr="00F253AC">
        <w:rPr>
          <w:rFonts w:ascii="Bahnschrift Light SemiCondensed" w:hAnsi="Bahnschrift Light SemiCondensed" w:cs="Calibri"/>
          <w:sz w:val="28"/>
          <w:szCs w:val="24"/>
        </w:rPr>
        <w:t>aboral de personas con discapacidad, además de mejoras en la infraestructura de todas las jurisdicciones del país y la implementación de ajustes necesarios en sus instalaciones.</w:t>
      </w:r>
    </w:p>
    <w:p w14:paraId="5A63AA07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En acceso a la justicia s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e </w:t>
      </w:r>
      <w:r>
        <w:rPr>
          <w:rFonts w:ascii="Bahnschrift Light SemiCondensed" w:hAnsi="Bahnschrift Light SemiCondensed" w:cs="Calibri"/>
          <w:sz w:val="28"/>
          <w:szCs w:val="24"/>
        </w:rPr>
        <w:t>extendió el uso de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l Servicio de Traducción en Línea en lengua de señas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y migrantes </w:t>
      </w:r>
      <w:r w:rsidRPr="00F253AC">
        <w:rPr>
          <w:rFonts w:ascii="Bahnschrift Light SemiCondensed" w:hAnsi="Bahnschrift Light SemiCondensed" w:cs="Calibri"/>
          <w:sz w:val="28"/>
          <w:szCs w:val="24"/>
        </w:rPr>
        <w:t>en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todos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 los tribunales reformados del país</w:t>
      </w:r>
      <w:r>
        <w:rPr>
          <w:rFonts w:ascii="Bahnschrift Light SemiCondensed" w:hAnsi="Bahnschrift Light SemiCondensed" w:cs="Calibri"/>
          <w:sz w:val="28"/>
          <w:szCs w:val="24"/>
        </w:rPr>
        <w:t>, en la implementación de las nuevas políticas de atención de usuarios y género y no discriminación.</w:t>
      </w:r>
    </w:p>
    <w:p w14:paraId="3C7EADDA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En octubre s</w:t>
      </w:r>
      <w:r w:rsidRPr="00F253AC">
        <w:rPr>
          <w:rFonts w:ascii="Bahnschrift Light SemiCondensed" w:hAnsi="Bahnschrift Light SemiCondensed" w:cs="Calibri"/>
          <w:sz w:val="28"/>
          <w:szCs w:val="24"/>
        </w:rPr>
        <w:t>e inició la primer</w:t>
      </w:r>
      <w:r>
        <w:rPr>
          <w:rFonts w:ascii="Bahnschrift Light SemiCondensed" w:hAnsi="Bahnschrift Light SemiCondensed" w:cs="Calibri"/>
          <w:sz w:val="28"/>
          <w:szCs w:val="24"/>
        </w:rPr>
        <w:t>a etapa de la implementación de la Ley de Entrevista Video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grabada en las jurisdicciones de Arica, Iquique, Antofagasta, Talca, Coyhaique y Punta Arenas. </w:t>
      </w:r>
    </w:p>
    <w:p w14:paraId="62E05FD5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Para la implementación de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esta ley </w:t>
      </w:r>
      <w:r w:rsidRPr="00F253AC">
        <w:rPr>
          <w:rFonts w:ascii="Bahnschrift Light SemiCondensed" w:hAnsi="Bahnschrift Light SemiCondensed" w:cs="Calibri"/>
          <w:sz w:val="28"/>
          <w:szCs w:val="24"/>
        </w:rPr>
        <w:t>se habilitaron 20 nuevas salas y 9 interconexiones entre Tribunal del Juicio Oral en lo Penal y Juzgados de Garantía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. Además, se capacitó a todos 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los jueces y ministros de tribunales de las 6 jurisdicciones de la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primera 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fase </w:t>
      </w:r>
      <w:r>
        <w:rPr>
          <w:rFonts w:ascii="Bahnschrift Light SemiCondensed" w:hAnsi="Bahnschrift Light SemiCondensed" w:cs="Calibri"/>
          <w:sz w:val="28"/>
          <w:szCs w:val="24"/>
        </w:rPr>
        <w:t>y</w:t>
      </w:r>
      <w:r w:rsidRPr="00F253AC">
        <w:rPr>
          <w:rFonts w:ascii="Bahnschrift Light SemiCondensed" w:hAnsi="Bahnschrift Light SemiCondensed" w:cs="Calibri"/>
          <w:sz w:val="28"/>
          <w:szCs w:val="24"/>
        </w:rPr>
        <w:t xml:space="preserve"> se formularon los protocolos necesarios para el desarrollo de las entrevistas.</w:t>
      </w:r>
    </w:p>
    <w:p w14:paraId="54C94DD6" w14:textId="77777777" w:rsidR="003760E7" w:rsidRDefault="003760E7" w:rsidP="003760E7">
      <w:pPr>
        <w:pStyle w:val="Prrafodelista"/>
        <w:spacing w:after="0" w:line="360" w:lineRule="atLeast"/>
        <w:ind w:left="0" w:firstLine="708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Finalmente, q</w:t>
      </w:r>
      <w:r w:rsidRPr="00F23A49">
        <w:rPr>
          <w:rFonts w:ascii="Bahnschrift Light SemiCondensed" w:hAnsi="Bahnschrift Light SemiCondensed" w:cs="Calibri"/>
          <w:sz w:val="28"/>
          <w:szCs w:val="24"/>
        </w:rPr>
        <w:t>uiero agradecer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la </w:t>
      </w:r>
      <w:r w:rsidRPr="00F23A49">
        <w:rPr>
          <w:rFonts w:ascii="Bahnschrift Light SemiCondensed" w:hAnsi="Bahnschrift Light SemiCondensed" w:cs="Calibri"/>
          <w:sz w:val="28"/>
          <w:szCs w:val="24"/>
        </w:rPr>
        <w:t xml:space="preserve">confianza depositada por el Consejo Superior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en el equipo directivo y destacar a cada una de las personas que forman </w:t>
      </w:r>
      <w:r w:rsidRPr="00F23A49">
        <w:rPr>
          <w:rFonts w:ascii="Bahnschrift Light SemiCondensed" w:hAnsi="Bahnschrift Light SemiCondensed" w:cs="Calibri"/>
          <w:sz w:val="28"/>
          <w:szCs w:val="24"/>
        </w:rPr>
        <w:t>parte de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</w:t>
      </w:r>
      <w:r w:rsidRPr="00F23A49">
        <w:rPr>
          <w:rFonts w:ascii="Bahnschrift Light SemiCondensed" w:hAnsi="Bahnschrift Light SemiCondensed" w:cs="Calibri"/>
          <w:sz w:val="28"/>
          <w:szCs w:val="24"/>
        </w:rPr>
        <w:t>l</w:t>
      </w:r>
      <w:r>
        <w:rPr>
          <w:rFonts w:ascii="Bahnschrift Light SemiCondensed" w:hAnsi="Bahnschrift Light SemiCondensed" w:cs="Calibri"/>
          <w:sz w:val="28"/>
          <w:szCs w:val="24"/>
        </w:rPr>
        <w:t>a Corporación Administrativa del Poder Judicial,</w:t>
      </w:r>
      <w:r w:rsidRPr="00F23A49">
        <w:rPr>
          <w:rFonts w:ascii="Bahnschrift Light SemiCondensed" w:hAnsi="Bahnschrift Light SemiCondensed" w:cs="Calibri"/>
          <w:sz w:val="28"/>
          <w:szCs w:val="24"/>
        </w:rPr>
        <w:t xml:space="preserve"> quienes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se han comprometido y </w:t>
      </w:r>
      <w:r w:rsidRPr="00F23A49">
        <w:rPr>
          <w:rFonts w:ascii="Bahnschrift Light SemiCondensed" w:hAnsi="Bahnschrift Light SemiCondensed" w:cs="Calibri"/>
          <w:sz w:val="28"/>
          <w:szCs w:val="24"/>
        </w:rPr>
        <w:t xml:space="preserve">colaborado en llevar adelante todas estas iniciativas,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que </w:t>
      </w:r>
      <w:r w:rsidRPr="00F23A49">
        <w:rPr>
          <w:rFonts w:ascii="Bahnschrift Light SemiCondensed" w:hAnsi="Bahnschrift Light SemiCondensed" w:cs="Calibri"/>
          <w:sz w:val="28"/>
          <w:szCs w:val="24"/>
        </w:rPr>
        <w:t>nos permitan vislumbrar una institución cada vez más eficiente y al servicio de un mejor país.</w:t>
      </w:r>
    </w:p>
    <w:p w14:paraId="49BBF451" w14:textId="77777777" w:rsidR="003760E7" w:rsidRPr="00F23A49" w:rsidRDefault="003760E7" w:rsidP="003760E7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</w:p>
    <w:p w14:paraId="467B018B" w14:textId="4A989EA4" w:rsidR="00F23A49" w:rsidRPr="00F23A49" w:rsidRDefault="00F23A49" w:rsidP="003760E7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</w:p>
    <w:p w14:paraId="77F70B68" w14:textId="77777777" w:rsidR="00961BB9" w:rsidRPr="00F23A49" w:rsidRDefault="00961BB9" w:rsidP="00F23A49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  <w:r w:rsidRPr="00F23A49">
        <w:rPr>
          <w:rFonts w:ascii="Bahnschrift Light SemiCondensed" w:hAnsi="Bahnschrift Light SemiCondensed" w:cs="Calibri"/>
          <w:sz w:val="28"/>
          <w:szCs w:val="24"/>
        </w:rPr>
        <w:t>Afectuosamente,</w:t>
      </w:r>
    </w:p>
    <w:p w14:paraId="5B7D93C9" w14:textId="77777777" w:rsidR="00961BB9" w:rsidRPr="00F23A49" w:rsidRDefault="00961BB9" w:rsidP="00F23A49">
      <w:pPr>
        <w:pStyle w:val="Prrafodelista"/>
        <w:spacing w:after="0" w:line="360" w:lineRule="atLeast"/>
        <w:ind w:left="0"/>
        <w:contextualSpacing w:val="0"/>
        <w:jc w:val="both"/>
        <w:rPr>
          <w:rFonts w:ascii="Bahnschrift Light SemiCondensed" w:hAnsi="Bahnschrift Light SemiCondensed" w:cs="Calibri"/>
          <w:sz w:val="28"/>
          <w:szCs w:val="24"/>
        </w:rPr>
      </w:pPr>
    </w:p>
    <w:p w14:paraId="7B9B5B5C" w14:textId="77777777" w:rsidR="001D498E" w:rsidRDefault="00961BB9" w:rsidP="001D498E">
      <w:pPr>
        <w:pStyle w:val="Prrafodelista"/>
        <w:spacing w:after="0" w:line="360" w:lineRule="atLeast"/>
        <w:ind w:left="0"/>
        <w:contextualSpacing w:val="0"/>
        <w:jc w:val="center"/>
        <w:rPr>
          <w:rFonts w:ascii="Bahnschrift Light SemiCondensed" w:hAnsi="Bahnschrift Light SemiCondensed" w:cs="Calibri"/>
          <w:sz w:val="28"/>
          <w:szCs w:val="24"/>
        </w:rPr>
      </w:pPr>
      <w:r w:rsidRPr="00F23A49">
        <w:rPr>
          <w:rFonts w:ascii="Bahnschrift Light SemiCondensed" w:hAnsi="Bahnschrift Light SemiCondensed" w:cs="Calibri"/>
          <w:sz w:val="28"/>
          <w:szCs w:val="24"/>
        </w:rPr>
        <w:t>Ricardo Guzmán L. Sanza</w:t>
      </w:r>
    </w:p>
    <w:p w14:paraId="120CD45B" w14:textId="77777777" w:rsidR="001D498E" w:rsidRDefault="001D498E" w:rsidP="001D498E">
      <w:pPr>
        <w:pStyle w:val="Prrafodelista"/>
        <w:spacing w:after="0" w:line="360" w:lineRule="atLeast"/>
        <w:ind w:left="0"/>
        <w:contextualSpacing w:val="0"/>
        <w:jc w:val="center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Director</w:t>
      </w:r>
    </w:p>
    <w:p w14:paraId="113B6B52" w14:textId="77777777" w:rsidR="002A7461" w:rsidRDefault="00961BB9" w:rsidP="00D9305F">
      <w:pPr>
        <w:pStyle w:val="Prrafodelista"/>
        <w:spacing w:after="0" w:line="360" w:lineRule="atLeast"/>
        <w:ind w:left="0"/>
        <w:contextualSpacing w:val="0"/>
        <w:jc w:val="center"/>
      </w:pPr>
      <w:r w:rsidRPr="00F23A49">
        <w:rPr>
          <w:rFonts w:ascii="Bahnschrift Light SemiCondensed" w:hAnsi="Bahnschrift Light SemiCondensed" w:cs="Calibri"/>
          <w:sz w:val="28"/>
          <w:szCs w:val="24"/>
        </w:rPr>
        <w:t>Corporación Administrativa del Poder Judicial</w:t>
      </w:r>
    </w:p>
    <w:p w14:paraId="2F90EE79" w14:textId="77777777" w:rsidR="002A7461" w:rsidRDefault="002A7461" w:rsidP="00F23A49">
      <w:pPr>
        <w:spacing w:after="0" w:line="360" w:lineRule="atLeast"/>
        <w:jc w:val="both"/>
      </w:pPr>
    </w:p>
    <w:p w14:paraId="66196EF2" w14:textId="77777777" w:rsidR="002A7461" w:rsidRDefault="002A7461" w:rsidP="00F23A49">
      <w:pPr>
        <w:spacing w:after="0" w:line="360" w:lineRule="atLeast"/>
        <w:jc w:val="both"/>
      </w:pPr>
    </w:p>
    <w:p w14:paraId="78C235B1" w14:textId="77777777" w:rsidR="002A7461" w:rsidRDefault="002A7461" w:rsidP="00E0009E"/>
    <w:p w14:paraId="4D92CA33" w14:textId="77777777" w:rsidR="002A7461" w:rsidRDefault="002A7461" w:rsidP="00E0009E"/>
    <w:p w14:paraId="1363ECF5" w14:textId="77777777" w:rsidR="002A7461" w:rsidRDefault="002A7461" w:rsidP="00E0009E"/>
    <w:p w14:paraId="7B863217" w14:textId="77777777" w:rsidR="002258AB" w:rsidRPr="00E0009E" w:rsidRDefault="002258AB" w:rsidP="00E0009E"/>
    <w:sectPr w:rsidR="002258AB" w:rsidRPr="00E000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BC6C" w14:textId="77777777" w:rsidR="00463C76" w:rsidRDefault="00463C76" w:rsidP="00A37669">
      <w:pPr>
        <w:spacing w:after="0" w:line="240" w:lineRule="auto"/>
      </w:pPr>
      <w:r>
        <w:separator/>
      </w:r>
    </w:p>
  </w:endnote>
  <w:endnote w:type="continuationSeparator" w:id="0">
    <w:p w14:paraId="2B92C372" w14:textId="77777777" w:rsidR="00463C76" w:rsidRDefault="00463C76" w:rsidP="00A3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DEF7" w14:textId="77777777" w:rsidR="00463C76" w:rsidRDefault="00463C76" w:rsidP="00A37669">
      <w:pPr>
        <w:spacing w:after="0" w:line="240" w:lineRule="auto"/>
      </w:pPr>
      <w:r>
        <w:separator/>
      </w:r>
    </w:p>
  </w:footnote>
  <w:footnote w:type="continuationSeparator" w:id="0">
    <w:p w14:paraId="5B9B5D50" w14:textId="77777777" w:rsidR="00463C76" w:rsidRDefault="00463C76" w:rsidP="00A3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ABA5" w14:textId="77777777" w:rsidR="00A37669" w:rsidRDefault="00A37669" w:rsidP="00A37669">
    <w:pPr>
      <w:pStyle w:val="Encabezado"/>
    </w:pPr>
    <w:r>
      <w:rPr>
        <w:rFonts w:ascii="Times New Roman" w:eastAsia="Times New Roman" w:hAnsi="Times New Roman"/>
        <w:noProof/>
        <w:sz w:val="20"/>
        <w:szCs w:val="20"/>
        <w:lang w:eastAsia="es-CL"/>
      </w:rPr>
      <w:drawing>
        <wp:inline distT="0" distB="0" distL="0" distR="0" wp14:anchorId="1184EAD4" wp14:editId="333176D2">
          <wp:extent cx="800100" cy="752475"/>
          <wp:effectExtent l="0" t="0" r="0" b="9525"/>
          <wp:docPr id="1" name="Imagen 1" descr="Descripción: logo 4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4-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99CFB" w14:textId="77777777" w:rsidR="00A37669" w:rsidRDefault="00A37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09E"/>
    <w:rsid w:val="0008745D"/>
    <w:rsid w:val="00097D4A"/>
    <w:rsid w:val="000B6BDE"/>
    <w:rsid w:val="00100E26"/>
    <w:rsid w:val="0012357E"/>
    <w:rsid w:val="00180E27"/>
    <w:rsid w:val="00182AA8"/>
    <w:rsid w:val="001D498E"/>
    <w:rsid w:val="002258AB"/>
    <w:rsid w:val="002370F8"/>
    <w:rsid w:val="002958E1"/>
    <w:rsid w:val="002A7461"/>
    <w:rsid w:val="002C4212"/>
    <w:rsid w:val="003760E7"/>
    <w:rsid w:val="00396026"/>
    <w:rsid w:val="00403043"/>
    <w:rsid w:val="00440BC8"/>
    <w:rsid w:val="004566DF"/>
    <w:rsid w:val="00456B2A"/>
    <w:rsid w:val="00463C76"/>
    <w:rsid w:val="004E73EF"/>
    <w:rsid w:val="00502C78"/>
    <w:rsid w:val="00524D6E"/>
    <w:rsid w:val="00567F78"/>
    <w:rsid w:val="006A6492"/>
    <w:rsid w:val="0075381C"/>
    <w:rsid w:val="00785BF4"/>
    <w:rsid w:val="007F683D"/>
    <w:rsid w:val="00865181"/>
    <w:rsid w:val="00932DF2"/>
    <w:rsid w:val="00961BB9"/>
    <w:rsid w:val="00974806"/>
    <w:rsid w:val="009A5F22"/>
    <w:rsid w:val="009C3F72"/>
    <w:rsid w:val="009D49AE"/>
    <w:rsid w:val="00A37669"/>
    <w:rsid w:val="00AA5309"/>
    <w:rsid w:val="00B276A6"/>
    <w:rsid w:val="00BD4E51"/>
    <w:rsid w:val="00C003E2"/>
    <w:rsid w:val="00C05790"/>
    <w:rsid w:val="00C3768B"/>
    <w:rsid w:val="00CC18A2"/>
    <w:rsid w:val="00D9305F"/>
    <w:rsid w:val="00DB327B"/>
    <w:rsid w:val="00DE5F0F"/>
    <w:rsid w:val="00E0009E"/>
    <w:rsid w:val="00E07E1B"/>
    <w:rsid w:val="00E6190C"/>
    <w:rsid w:val="00E72458"/>
    <w:rsid w:val="00EE4972"/>
    <w:rsid w:val="00F23A49"/>
    <w:rsid w:val="00F253AC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7B29"/>
  <w15:docId w15:val="{2D4E43A1-21EF-4262-B9FC-82741F1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669"/>
  </w:style>
  <w:style w:type="paragraph" w:styleId="Piedepgina">
    <w:name w:val="footer"/>
    <w:basedOn w:val="Normal"/>
    <w:link w:val="PiedepginaCar"/>
    <w:uiPriority w:val="99"/>
    <w:unhideWhenUsed/>
    <w:rsid w:val="00A37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669"/>
  </w:style>
  <w:style w:type="paragraph" w:styleId="Textodeglobo">
    <w:name w:val="Balloon Text"/>
    <w:basedOn w:val="Normal"/>
    <w:link w:val="TextodegloboCar"/>
    <w:uiPriority w:val="99"/>
    <w:semiHidden/>
    <w:unhideWhenUsed/>
    <w:rsid w:val="00A3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6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3A49"/>
    <w:pPr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C4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2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2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2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ANDRES SALAZAR GODOY</dc:creator>
  <cp:lastModifiedBy>Sofía Campos</cp:lastModifiedBy>
  <cp:revision>14</cp:revision>
  <dcterms:created xsi:type="dcterms:W3CDTF">2018-05-10T20:04:00Z</dcterms:created>
  <dcterms:modified xsi:type="dcterms:W3CDTF">2020-09-03T17:01:00Z</dcterms:modified>
</cp:coreProperties>
</file>